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" w:firstLineChars="49"/>
        <w:rPr>
          <w:rFonts w:eastAsia="黑体"/>
          <w:color w:val="000000"/>
          <w:sz w:val="28"/>
          <w:u w:val="single"/>
        </w:rPr>
      </w:pPr>
      <w:r>
        <w:rPr>
          <w:rFonts w:hint="eastAsia" w:eastAsia="楷体_GB2312"/>
          <w:b/>
          <w:bCs/>
          <w:color w:val="000000"/>
          <w:sz w:val="30"/>
        </w:rPr>
        <w:t>项目编号：</w:t>
      </w:r>
      <w:r>
        <w:rPr>
          <w:rFonts w:eastAsia="黑体"/>
          <w:color w:val="000000"/>
          <w:sz w:val="28"/>
        </w:rPr>
        <w:t>____________</w:t>
      </w:r>
    </w:p>
    <w:p>
      <w:pPr>
        <w:jc w:val="center"/>
        <w:rPr>
          <w:rFonts w:hint="eastAsia" w:ascii="黑体" w:eastAsia="黑体"/>
          <w:color w:val="000000"/>
          <w:sz w:val="44"/>
        </w:rPr>
      </w:pPr>
    </w:p>
    <w:p>
      <w:pPr>
        <w:rPr>
          <w:rFonts w:hint="eastAsia" w:ascii="黑体" w:eastAsia="黑体"/>
          <w:color w:val="000000"/>
          <w:sz w:val="44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color w:val="000000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color w:val="000000"/>
          <w:sz w:val="52"/>
          <w:szCs w:val="52"/>
          <w:lang w:eastAsia="zh-CN"/>
        </w:rPr>
        <w:t>东北石油大学</w:t>
      </w:r>
    </w:p>
    <w:p>
      <w:pPr>
        <w:jc w:val="center"/>
        <w:rPr>
          <w:rFonts w:hint="eastAsia" w:ascii="Times New Roman" w:hAnsi="Times New Roman" w:eastAsia="黑体" w:cs="Times New Roman"/>
          <w:b/>
          <w:color w:val="000000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color w:val="000000"/>
          <w:sz w:val="52"/>
          <w:szCs w:val="52"/>
        </w:rPr>
      </w:pPr>
      <w:r>
        <w:rPr>
          <w:rFonts w:eastAsia="黑体"/>
          <w:color w:val="000000"/>
          <w:sz w:val="44"/>
        </w:rPr>
        <w:tab/>
      </w:r>
      <w:r>
        <w:rPr>
          <w:rFonts w:hint="eastAsia" w:ascii="Times New Roman" w:hAnsi="Times New Roman" w:eastAsia="黑体" w:cs="Times New Roman"/>
          <w:b/>
          <w:color w:val="000000"/>
          <w:sz w:val="52"/>
          <w:szCs w:val="52"/>
        </w:rPr>
        <w:t>一流本科专业建设项目计划任务书</w:t>
      </w:r>
    </w:p>
    <w:p>
      <w:pPr>
        <w:rPr>
          <w:rFonts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名称：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专业名称：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专业代码：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91" w:firstLineChars="371"/>
        <w:textAlignment w:val="auto"/>
        <w:rPr>
          <w:rFonts w:hint="default" w:ascii="黑体" w:hAnsi="黑体" w:eastAsia="黑体" w:cs="黑体"/>
          <w:color w:val="000000"/>
          <w:spacing w:val="14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4"/>
          <w:sz w:val="32"/>
          <w:szCs w:val="32"/>
        </w:rPr>
        <w:t>专业类：</w:t>
      </w:r>
      <w:r>
        <w:rPr>
          <w:rFonts w:hint="eastAsia" w:ascii="黑体" w:hAnsi="黑体" w:eastAsia="黑体" w:cs="黑体"/>
          <w:color w:val="000000"/>
          <w:spacing w:val="14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pacing w:val="14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专业负责人：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联系电话：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 xml:space="preserve">获批级别：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□国家级   □省级</w:t>
      </w:r>
    </w:p>
    <w:p>
      <w:pPr>
        <w:ind w:firstLine="1935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lang w:eastAsia="zh-CN"/>
        </w:rPr>
      </w:pPr>
    </w:p>
    <w:p>
      <w:pPr>
        <w:jc w:val="center"/>
        <w:rPr>
          <w:rFonts w:eastAsia="黑体"/>
          <w:color w:val="000000"/>
          <w:sz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134" w:bottom="1418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eastAsia="zh-CN"/>
        </w:rPr>
        <w:t>东北石油大学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</w:rPr>
        <w:t>教务处制</w:t>
      </w:r>
    </w:p>
    <w:p>
      <w:pPr>
        <w:spacing w:before="312" w:beforeLines="100"/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填表说明</w:t>
      </w:r>
    </w:p>
    <w:p>
      <w:pPr>
        <w:spacing w:before="312" w:beforeLines="100"/>
        <w:jc w:val="center"/>
        <w:rPr>
          <w:rFonts w:hint="eastAsia" w:eastAsia="黑体"/>
          <w:color w:val="000000"/>
          <w:sz w:val="36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1.本任务书适用于</w:t>
      </w:r>
      <w:r>
        <w:rPr>
          <w:rFonts w:hint="eastAsia" w:ascii="仿宋" w:hAnsi="仿宋" w:eastAsia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获批的国家级和省级一流本科专业建设点建设计划编制。任务书由专业负责人填写，经</w:t>
      </w:r>
      <w:r>
        <w:rPr>
          <w:rFonts w:hint="eastAsia" w:ascii="仿宋" w:hAnsi="仿宋" w:eastAsia="仿宋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/>
          <w:sz w:val="32"/>
          <w:szCs w:val="32"/>
        </w:rPr>
        <w:t>组织专家论证和</w:t>
      </w:r>
      <w:r>
        <w:rPr>
          <w:rFonts w:hint="eastAsia" w:ascii="仿宋" w:hAnsi="仿宋" w:eastAsia="仿宋"/>
          <w:sz w:val="32"/>
          <w:szCs w:val="32"/>
          <w:lang w:eastAsia="zh-CN"/>
        </w:rPr>
        <w:t>学校审批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实施</w:t>
      </w:r>
      <w:r>
        <w:rPr>
          <w:rFonts w:hint="eastAsia" w:ascii="仿宋" w:hAnsi="仿宋" w:eastAsia="仿宋"/>
          <w:color w:val="000000"/>
          <w:sz w:val="32"/>
          <w:szCs w:val="32"/>
        </w:rPr>
        <w:t>，作为项目建设过程评价和成果验收的主要依据。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2.要认真落实《教育部办公厅关于实施一流本科专业建设“双万计划”的通知》《国家级一流本科专业建设点推荐工作指导标准》</w:t>
      </w:r>
      <w:r>
        <w:rPr>
          <w:rFonts w:hint="eastAsia" w:ascii="仿宋" w:hAnsi="仿宋" w:eastAsia="仿宋"/>
          <w:sz w:val="32"/>
          <w:szCs w:val="32"/>
        </w:rPr>
        <w:t>等文件要求，做到对表对标编制建设计划。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.表格内所列内容可加附页</w:t>
      </w:r>
      <w:r>
        <w:rPr>
          <w:rFonts w:hint="eastAsia" w:ascii="仿宋" w:hAnsi="仿宋" w:eastAsia="仿宋"/>
          <w:sz w:val="32"/>
          <w:szCs w:val="32"/>
          <w:lang w:eastAsia="zh-CN"/>
        </w:rPr>
        <w:t>，电子版发至jyk002@163.com。</w:t>
      </w:r>
    </w:p>
    <w:p>
      <w:pPr>
        <w:adjustRightInd w:val="0"/>
        <w:snapToGrid w:val="0"/>
        <w:spacing w:before="156" w:beforeLines="50" w:line="312" w:lineRule="auto"/>
        <w:ind w:firstLine="600" w:firstLineChars="200"/>
        <w:rPr>
          <w:rFonts w:hint="eastAsia" w:ascii="楷体_GB2312" w:hAnsi="宋体" w:eastAsia="楷体_GB2312"/>
          <w:color w:val="000000"/>
          <w:sz w:val="30"/>
        </w:rPr>
      </w:pPr>
    </w:p>
    <w:p>
      <w:pPr>
        <w:adjustRightInd w:val="0"/>
        <w:snapToGrid w:val="0"/>
        <w:spacing w:before="156" w:beforeLines="50" w:line="312" w:lineRule="auto"/>
        <w:ind w:firstLine="600" w:firstLineChars="200"/>
        <w:rPr>
          <w:rFonts w:hint="eastAsia" w:ascii="楷体_GB2312" w:hAnsi="宋体" w:eastAsia="楷体_GB2312"/>
          <w:color w:val="000000"/>
          <w:sz w:val="30"/>
        </w:rPr>
      </w:pPr>
    </w:p>
    <w:p>
      <w:pPr>
        <w:adjustRightInd w:val="0"/>
        <w:snapToGrid w:val="0"/>
        <w:spacing w:before="156" w:beforeLines="50" w:line="312" w:lineRule="auto"/>
        <w:ind w:firstLine="600" w:firstLineChars="200"/>
        <w:rPr>
          <w:rFonts w:hint="eastAsia" w:ascii="楷体_GB2312" w:hAnsi="宋体" w:eastAsia="楷体_GB2312"/>
          <w:color w:val="000000"/>
          <w:sz w:val="30"/>
        </w:rPr>
      </w:pPr>
    </w:p>
    <w:p>
      <w:pPr>
        <w:adjustRightInd w:val="0"/>
        <w:snapToGrid w:val="0"/>
        <w:spacing w:before="156" w:beforeLines="50" w:line="312" w:lineRule="auto"/>
        <w:ind w:firstLine="600" w:firstLineChars="200"/>
        <w:rPr>
          <w:rFonts w:hint="eastAsia" w:ascii="楷体_GB2312" w:hAnsi="宋体" w:eastAsia="楷体_GB2312"/>
          <w:color w:val="000000"/>
          <w:sz w:val="30"/>
        </w:rPr>
      </w:pPr>
    </w:p>
    <w:p>
      <w:pPr>
        <w:adjustRightInd w:val="0"/>
        <w:snapToGrid w:val="0"/>
        <w:spacing w:before="156" w:beforeLines="50" w:line="312" w:lineRule="auto"/>
        <w:ind w:firstLine="600" w:firstLineChars="200"/>
        <w:rPr>
          <w:rFonts w:hint="eastAsia" w:ascii="楷体_GB2312" w:hAnsi="宋体" w:eastAsia="楷体_GB2312"/>
          <w:color w:val="000000"/>
          <w:sz w:val="30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一、基本情况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1.专业基本情况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43"/>
        <w:gridCol w:w="222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76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专业代码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修业年限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学位授予门类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专业设立时间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所在系名称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专业总学分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专业总学时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实践教学环节学分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占总学分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比例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本专业教授给本科生上课的比例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2.专业负责人基本情况</w:t>
      </w:r>
    </w:p>
    <w:tbl>
      <w:tblPr>
        <w:tblStyle w:val="7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45"/>
        <w:gridCol w:w="1516"/>
        <w:gridCol w:w="840"/>
        <w:gridCol w:w="2021"/>
        <w:gridCol w:w="840"/>
        <w:gridCol w:w="932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137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主讲的本科课程</w:t>
            </w:r>
          </w:p>
        </w:tc>
        <w:tc>
          <w:tcPr>
            <w:tcW w:w="3622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专业团队基本情况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11"/>
        <w:gridCol w:w="3654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部门及职务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建设基础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（简述专业定位、历史沿革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特色优势等，500字以内）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、专业建设和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综合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改革的主要思路及举措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（结合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一流本科专业建设“双万计划”、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“六卓越一拔尖”计划2.0、新工科和新文科建设、课程思政等要求，确定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内专业建设目标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建设思路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及举措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00字以内）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预期成果</w:t>
      </w:r>
    </w:p>
    <w:tbl>
      <w:tblPr>
        <w:tblStyle w:val="7"/>
        <w:tblW w:w="48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274"/>
        <w:gridCol w:w="1730"/>
        <w:gridCol w:w="173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tblHeader/>
          <w:jc w:val="center"/>
        </w:trPr>
        <w:tc>
          <w:tcPr>
            <w:tcW w:w="234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建设内容</w:t>
            </w:r>
          </w:p>
        </w:tc>
        <w:tc>
          <w:tcPr>
            <w:tcW w:w="265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234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年度</w:t>
            </w:r>
          </w:p>
        </w:tc>
        <w:tc>
          <w:tcPr>
            <w:tcW w:w="9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年度</w:t>
            </w:r>
          </w:p>
        </w:tc>
        <w:tc>
          <w:tcPr>
            <w:tcW w:w="8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第三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强化立德树人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根本宗旨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教师发展与教学团队建设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（含基层教学组织建设）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课程教材资源开发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实践教学建设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学生创新创业训练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及学科竞赛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国内外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教学交流合作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教育教学研究与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改革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、教学成果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生源与就业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质量提升</w:t>
            </w: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质量保障体系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建设及教学成效</w:t>
            </w: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其他</w:t>
            </w: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626"/>
        <w:gridCol w:w="2949"/>
        <w:gridCol w:w="223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XXX年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经费额度(万元)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支出科目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主要用途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所占划拨经费比例（%）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、学院政策与保障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noWrap w:val="0"/>
            <w:vAlign w:val="top"/>
          </w:tcPr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学院主要在落实“以本为本、四个回归”、 推进“四新”建设、完善协同育人和实践教学机制、建设以人才培养为中心的质量文化等方面的政策与保障措施。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负责人、学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与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57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承诺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负责人，本人将与团队成员一起，在建设期内按照任务书要求推进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一流本科专业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建设工作，达到预期建设成效。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论证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7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学院意见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将认真落实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一流专业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建设相关要求，明确建设目标，落实建设责任，强化建设措施，确保全面完成或超额完成《项目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任务书》提出的各项任务。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（公  章）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957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color w:val="000000"/>
        </w:rPr>
      </w:pPr>
    </w:p>
    <w:sectPr>
      <w:footerReference r:id="rId7" w:type="default"/>
      <w:pgSz w:w="11906" w:h="16838"/>
      <w:pgMar w:top="1418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80"/>
        <w:tab w:val="clear" w:pos="4153"/>
        <w:tab w:val="clear" w:pos="8306"/>
      </w:tabs>
      <w:rPr>
        <w:rFonts w:hint="eastAsia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H4Wc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89"/>
    <w:rsid w:val="000068AF"/>
    <w:rsid w:val="00055B22"/>
    <w:rsid w:val="00080AF2"/>
    <w:rsid w:val="000A2EB7"/>
    <w:rsid w:val="000A5D29"/>
    <w:rsid w:val="000E2533"/>
    <w:rsid w:val="001024D6"/>
    <w:rsid w:val="00103BDD"/>
    <w:rsid w:val="00107779"/>
    <w:rsid w:val="0015084D"/>
    <w:rsid w:val="0015091C"/>
    <w:rsid w:val="00160398"/>
    <w:rsid w:val="001B39F6"/>
    <w:rsid w:val="001B6C89"/>
    <w:rsid w:val="001E24BB"/>
    <w:rsid w:val="00206C0F"/>
    <w:rsid w:val="00221866"/>
    <w:rsid w:val="00272102"/>
    <w:rsid w:val="00292893"/>
    <w:rsid w:val="002C0C73"/>
    <w:rsid w:val="002C7E73"/>
    <w:rsid w:val="002E6FF5"/>
    <w:rsid w:val="00324D20"/>
    <w:rsid w:val="003C429F"/>
    <w:rsid w:val="00405447"/>
    <w:rsid w:val="00446F54"/>
    <w:rsid w:val="00473C97"/>
    <w:rsid w:val="00481BF1"/>
    <w:rsid w:val="00493E79"/>
    <w:rsid w:val="004A5D2B"/>
    <w:rsid w:val="004F2086"/>
    <w:rsid w:val="00517F8C"/>
    <w:rsid w:val="00563FFE"/>
    <w:rsid w:val="005832AC"/>
    <w:rsid w:val="0059784B"/>
    <w:rsid w:val="005A013B"/>
    <w:rsid w:val="005B648D"/>
    <w:rsid w:val="005D7626"/>
    <w:rsid w:val="005F0AF0"/>
    <w:rsid w:val="00603E15"/>
    <w:rsid w:val="00605B2F"/>
    <w:rsid w:val="00632FE5"/>
    <w:rsid w:val="00646C35"/>
    <w:rsid w:val="00656636"/>
    <w:rsid w:val="006670E8"/>
    <w:rsid w:val="00672515"/>
    <w:rsid w:val="00675D8E"/>
    <w:rsid w:val="006A6D4F"/>
    <w:rsid w:val="006C2E34"/>
    <w:rsid w:val="006D1773"/>
    <w:rsid w:val="006D492E"/>
    <w:rsid w:val="006E0E3A"/>
    <w:rsid w:val="006F1D89"/>
    <w:rsid w:val="007020F1"/>
    <w:rsid w:val="00706E6C"/>
    <w:rsid w:val="007109F2"/>
    <w:rsid w:val="007365F8"/>
    <w:rsid w:val="007369E5"/>
    <w:rsid w:val="00777744"/>
    <w:rsid w:val="007859DC"/>
    <w:rsid w:val="007A2E52"/>
    <w:rsid w:val="007D7D0B"/>
    <w:rsid w:val="007E105E"/>
    <w:rsid w:val="007F0992"/>
    <w:rsid w:val="007F5D43"/>
    <w:rsid w:val="00890A98"/>
    <w:rsid w:val="00894EA8"/>
    <w:rsid w:val="008A403F"/>
    <w:rsid w:val="008C4CE0"/>
    <w:rsid w:val="009020E4"/>
    <w:rsid w:val="009258CD"/>
    <w:rsid w:val="009346CC"/>
    <w:rsid w:val="0098020A"/>
    <w:rsid w:val="009861BF"/>
    <w:rsid w:val="009A3C1A"/>
    <w:rsid w:val="009A4317"/>
    <w:rsid w:val="009D34B8"/>
    <w:rsid w:val="009E52BB"/>
    <w:rsid w:val="00A23B6B"/>
    <w:rsid w:val="00A52E8D"/>
    <w:rsid w:val="00A6741B"/>
    <w:rsid w:val="00A67FEC"/>
    <w:rsid w:val="00A85307"/>
    <w:rsid w:val="00AA425B"/>
    <w:rsid w:val="00AD04AD"/>
    <w:rsid w:val="00AF35AE"/>
    <w:rsid w:val="00AF3E96"/>
    <w:rsid w:val="00AF3EBB"/>
    <w:rsid w:val="00AF5AAC"/>
    <w:rsid w:val="00B2371C"/>
    <w:rsid w:val="00B37E67"/>
    <w:rsid w:val="00B50F50"/>
    <w:rsid w:val="00B6103D"/>
    <w:rsid w:val="00BD3E55"/>
    <w:rsid w:val="00C125A0"/>
    <w:rsid w:val="00C225C1"/>
    <w:rsid w:val="00C307CD"/>
    <w:rsid w:val="00C55144"/>
    <w:rsid w:val="00C83EBE"/>
    <w:rsid w:val="00CC77C0"/>
    <w:rsid w:val="00CD44A3"/>
    <w:rsid w:val="00CF4217"/>
    <w:rsid w:val="00D20414"/>
    <w:rsid w:val="00D50AE8"/>
    <w:rsid w:val="00DB0026"/>
    <w:rsid w:val="00DD13B9"/>
    <w:rsid w:val="00E3090F"/>
    <w:rsid w:val="00E360DE"/>
    <w:rsid w:val="00E429F0"/>
    <w:rsid w:val="00E42BAC"/>
    <w:rsid w:val="00E61843"/>
    <w:rsid w:val="00EC1235"/>
    <w:rsid w:val="00EC508B"/>
    <w:rsid w:val="00EF0ECD"/>
    <w:rsid w:val="00F02D36"/>
    <w:rsid w:val="00F452A0"/>
    <w:rsid w:val="00F511D3"/>
    <w:rsid w:val="00F57990"/>
    <w:rsid w:val="00FB2D39"/>
    <w:rsid w:val="00FD6E14"/>
    <w:rsid w:val="02380B3D"/>
    <w:rsid w:val="032A0C65"/>
    <w:rsid w:val="033051FC"/>
    <w:rsid w:val="051D423A"/>
    <w:rsid w:val="0530473C"/>
    <w:rsid w:val="05F3302D"/>
    <w:rsid w:val="06103D0F"/>
    <w:rsid w:val="06C33F02"/>
    <w:rsid w:val="07976AA0"/>
    <w:rsid w:val="07C517B5"/>
    <w:rsid w:val="08CB23AF"/>
    <w:rsid w:val="08F177D0"/>
    <w:rsid w:val="0910051E"/>
    <w:rsid w:val="09E04FB0"/>
    <w:rsid w:val="0A127B00"/>
    <w:rsid w:val="0B4E5CBD"/>
    <w:rsid w:val="0C847887"/>
    <w:rsid w:val="0C975616"/>
    <w:rsid w:val="0DD036C2"/>
    <w:rsid w:val="0E786F1D"/>
    <w:rsid w:val="0EE30C52"/>
    <w:rsid w:val="0F7504D4"/>
    <w:rsid w:val="0F862A9F"/>
    <w:rsid w:val="106B6DB6"/>
    <w:rsid w:val="10C16E20"/>
    <w:rsid w:val="11E674F2"/>
    <w:rsid w:val="11EB59F7"/>
    <w:rsid w:val="12940A4B"/>
    <w:rsid w:val="12DD215A"/>
    <w:rsid w:val="13610FD8"/>
    <w:rsid w:val="13642B92"/>
    <w:rsid w:val="13D31D83"/>
    <w:rsid w:val="14242B28"/>
    <w:rsid w:val="148F7BC3"/>
    <w:rsid w:val="14A95E63"/>
    <w:rsid w:val="14E4130E"/>
    <w:rsid w:val="15093E7F"/>
    <w:rsid w:val="153870E3"/>
    <w:rsid w:val="15CA0554"/>
    <w:rsid w:val="16492433"/>
    <w:rsid w:val="165D29A3"/>
    <w:rsid w:val="16C76F46"/>
    <w:rsid w:val="16CC6496"/>
    <w:rsid w:val="18253A1B"/>
    <w:rsid w:val="18F85899"/>
    <w:rsid w:val="198D08B4"/>
    <w:rsid w:val="1A07425D"/>
    <w:rsid w:val="1A486063"/>
    <w:rsid w:val="1B23787A"/>
    <w:rsid w:val="1B4007FE"/>
    <w:rsid w:val="1C155076"/>
    <w:rsid w:val="1C476AA8"/>
    <w:rsid w:val="1C9A399F"/>
    <w:rsid w:val="1CAD4263"/>
    <w:rsid w:val="1CCE5FC9"/>
    <w:rsid w:val="1CDE372E"/>
    <w:rsid w:val="1D951C99"/>
    <w:rsid w:val="1E181295"/>
    <w:rsid w:val="1E6929F2"/>
    <w:rsid w:val="1E903553"/>
    <w:rsid w:val="1F1967FA"/>
    <w:rsid w:val="1F301E1E"/>
    <w:rsid w:val="1F5B0D65"/>
    <w:rsid w:val="1F86087A"/>
    <w:rsid w:val="1FBA1DD2"/>
    <w:rsid w:val="2001204E"/>
    <w:rsid w:val="205C4446"/>
    <w:rsid w:val="20E404B0"/>
    <w:rsid w:val="22B65463"/>
    <w:rsid w:val="2327131B"/>
    <w:rsid w:val="23810A7A"/>
    <w:rsid w:val="23A16105"/>
    <w:rsid w:val="23AD0BA8"/>
    <w:rsid w:val="253B1D97"/>
    <w:rsid w:val="2542733C"/>
    <w:rsid w:val="257A341F"/>
    <w:rsid w:val="26211F92"/>
    <w:rsid w:val="26242699"/>
    <w:rsid w:val="26931D26"/>
    <w:rsid w:val="274D48C3"/>
    <w:rsid w:val="289925D6"/>
    <w:rsid w:val="294B5444"/>
    <w:rsid w:val="295C25D4"/>
    <w:rsid w:val="2A314847"/>
    <w:rsid w:val="2A6241CD"/>
    <w:rsid w:val="2A630571"/>
    <w:rsid w:val="2A7E36FA"/>
    <w:rsid w:val="2A7F3832"/>
    <w:rsid w:val="2B302823"/>
    <w:rsid w:val="2C235275"/>
    <w:rsid w:val="2DAB60DA"/>
    <w:rsid w:val="2E164FA0"/>
    <w:rsid w:val="30125A06"/>
    <w:rsid w:val="309970E5"/>
    <w:rsid w:val="30E13E46"/>
    <w:rsid w:val="312E2AAD"/>
    <w:rsid w:val="31895EB0"/>
    <w:rsid w:val="323A36A7"/>
    <w:rsid w:val="32705780"/>
    <w:rsid w:val="33425341"/>
    <w:rsid w:val="34873438"/>
    <w:rsid w:val="34D66E1E"/>
    <w:rsid w:val="3592604B"/>
    <w:rsid w:val="36FF7E39"/>
    <w:rsid w:val="37675607"/>
    <w:rsid w:val="381B122F"/>
    <w:rsid w:val="39A2243C"/>
    <w:rsid w:val="3A7A137B"/>
    <w:rsid w:val="3AF615B1"/>
    <w:rsid w:val="3B654169"/>
    <w:rsid w:val="3C1803A2"/>
    <w:rsid w:val="3C730019"/>
    <w:rsid w:val="3C9C5615"/>
    <w:rsid w:val="3CD614F3"/>
    <w:rsid w:val="3DA41A7E"/>
    <w:rsid w:val="3E321576"/>
    <w:rsid w:val="3F5F2AF7"/>
    <w:rsid w:val="3FEB6005"/>
    <w:rsid w:val="417A626A"/>
    <w:rsid w:val="41E859AC"/>
    <w:rsid w:val="4264152E"/>
    <w:rsid w:val="42681A83"/>
    <w:rsid w:val="428D4EBF"/>
    <w:rsid w:val="42906A07"/>
    <w:rsid w:val="43126A8E"/>
    <w:rsid w:val="43AA1EEF"/>
    <w:rsid w:val="44213550"/>
    <w:rsid w:val="44223431"/>
    <w:rsid w:val="448C47C1"/>
    <w:rsid w:val="449A2CAA"/>
    <w:rsid w:val="44A2528B"/>
    <w:rsid w:val="45470759"/>
    <w:rsid w:val="46111D1E"/>
    <w:rsid w:val="46A56375"/>
    <w:rsid w:val="46A9134A"/>
    <w:rsid w:val="471547EC"/>
    <w:rsid w:val="487F0C6B"/>
    <w:rsid w:val="4C28157F"/>
    <w:rsid w:val="4C664863"/>
    <w:rsid w:val="4CB94990"/>
    <w:rsid w:val="4D1968FC"/>
    <w:rsid w:val="4DDA13A2"/>
    <w:rsid w:val="4EA13323"/>
    <w:rsid w:val="4EC04157"/>
    <w:rsid w:val="4EEA1690"/>
    <w:rsid w:val="4F0F15FA"/>
    <w:rsid w:val="4F8F495A"/>
    <w:rsid w:val="50E26DD9"/>
    <w:rsid w:val="52182958"/>
    <w:rsid w:val="530B27D7"/>
    <w:rsid w:val="53481533"/>
    <w:rsid w:val="56082DDC"/>
    <w:rsid w:val="562F3B03"/>
    <w:rsid w:val="56382EC1"/>
    <w:rsid w:val="565B0A47"/>
    <w:rsid w:val="56AB7910"/>
    <w:rsid w:val="56C534EE"/>
    <w:rsid w:val="57A00972"/>
    <w:rsid w:val="57BB4808"/>
    <w:rsid w:val="57E50615"/>
    <w:rsid w:val="57F75092"/>
    <w:rsid w:val="58161FF7"/>
    <w:rsid w:val="583E409A"/>
    <w:rsid w:val="58F4528F"/>
    <w:rsid w:val="58FF0DFD"/>
    <w:rsid w:val="594D7820"/>
    <w:rsid w:val="59A234FC"/>
    <w:rsid w:val="5ADF43DB"/>
    <w:rsid w:val="5BAA603A"/>
    <w:rsid w:val="5BF65A6A"/>
    <w:rsid w:val="5C1E68C0"/>
    <w:rsid w:val="5C8A3861"/>
    <w:rsid w:val="5CE40339"/>
    <w:rsid w:val="5D020AA9"/>
    <w:rsid w:val="5F32489B"/>
    <w:rsid w:val="5F873EDC"/>
    <w:rsid w:val="607C486E"/>
    <w:rsid w:val="614D2900"/>
    <w:rsid w:val="614E2F75"/>
    <w:rsid w:val="616D1C15"/>
    <w:rsid w:val="61C53376"/>
    <w:rsid w:val="62587840"/>
    <w:rsid w:val="626E1C45"/>
    <w:rsid w:val="63D96A85"/>
    <w:rsid w:val="64CF0011"/>
    <w:rsid w:val="65152591"/>
    <w:rsid w:val="656C3BD0"/>
    <w:rsid w:val="65A20803"/>
    <w:rsid w:val="67001F74"/>
    <w:rsid w:val="671202A4"/>
    <w:rsid w:val="672D2A3D"/>
    <w:rsid w:val="678841D6"/>
    <w:rsid w:val="6A774178"/>
    <w:rsid w:val="6AA53038"/>
    <w:rsid w:val="6B4A10F5"/>
    <w:rsid w:val="6B7273BD"/>
    <w:rsid w:val="6D1E53A1"/>
    <w:rsid w:val="6E3719B2"/>
    <w:rsid w:val="6EC55596"/>
    <w:rsid w:val="6F124E00"/>
    <w:rsid w:val="6F824D9B"/>
    <w:rsid w:val="6F8408EA"/>
    <w:rsid w:val="70762D6D"/>
    <w:rsid w:val="709531ED"/>
    <w:rsid w:val="70B42BF8"/>
    <w:rsid w:val="70F10F07"/>
    <w:rsid w:val="71DC7726"/>
    <w:rsid w:val="72466639"/>
    <w:rsid w:val="737104A5"/>
    <w:rsid w:val="741550CE"/>
    <w:rsid w:val="75284CD4"/>
    <w:rsid w:val="758A6A31"/>
    <w:rsid w:val="7602246A"/>
    <w:rsid w:val="7639024B"/>
    <w:rsid w:val="76BA4F96"/>
    <w:rsid w:val="782B033C"/>
    <w:rsid w:val="78426D9F"/>
    <w:rsid w:val="79286615"/>
    <w:rsid w:val="7A2530E1"/>
    <w:rsid w:val="7A322B78"/>
    <w:rsid w:val="7B28488E"/>
    <w:rsid w:val="7B767F04"/>
    <w:rsid w:val="7DAF57FE"/>
    <w:rsid w:val="7EB06FD1"/>
    <w:rsid w:val="7F1F6955"/>
    <w:rsid w:val="7FC6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Hyperlink"/>
    <w:basedOn w:val="9"/>
    <w:uiPriority w:val="0"/>
    <w:rPr>
      <w:color w:val="0000FF"/>
      <w:u w:val="none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  <w:style w:type="character" w:customStyle="1" w:styleId="15">
    <w:name w:val="hover20"/>
    <w:basedOn w:val="9"/>
    <w:uiPriority w:val="0"/>
    <w:rPr>
      <w:color w:val="557EE7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265</Words>
  <Characters>1512</Characters>
  <Lines>12</Lines>
  <Paragraphs>3</Paragraphs>
  <TotalTime>1</TotalTime>
  <ScaleCrop>false</ScaleCrop>
  <LinksUpToDate>false</LinksUpToDate>
  <CharactersWithSpaces>1774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2020-03-20T10:51:00Z</dcterms:created>
  <dc:creator>X</dc:creator>
  <cp:lastModifiedBy>阿鑫</cp:lastModifiedBy>
  <cp:lastPrinted>2017-05-22T08:29:00Z</cp:lastPrinted>
  <dcterms:modified xsi:type="dcterms:W3CDTF">2021-04-01T00:28:49Z</dcterms:modified>
  <dc:title>项目编号：____________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71EA0FF392414FFA929D430DF5EF757C</vt:lpwstr>
  </property>
</Properties>
</file>